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2C14" w14:textId="3A3349A1" w:rsidR="005968C3" w:rsidRPr="005B6AA4" w:rsidRDefault="005968C3" w:rsidP="005B6AA4">
      <w:pPr>
        <w:pStyle w:val="Title"/>
        <w:spacing w:line="360" w:lineRule="auto"/>
        <w:rPr>
          <w:rStyle w:val="IntenseReference"/>
          <w:color w:val="auto"/>
        </w:rPr>
      </w:pPr>
      <w:bookmarkStart w:id="0" w:name="_GoBack"/>
      <w:r w:rsidRPr="005B6AA4">
        <w:rPr>
          <w:rStyle w:val="IntenseReference"/>
          <w:color w:val="auto"/>
        </w:rPr>
        <w:t xml:space="preserve">Update on </w:t>
      </w:r>
      <w:r w:rsidR="000D78A0" w:rsidRPr="005B6AA4">
        <w:rPr>
          <w:rStyle w:val="IntenseReference"/>
          <w:color w:val="auto"/>
        </w:rPr>
        <w:t>First 5</w:t>
      </w:r>
      <w:r w:rsidRPr="005B6AA4">
        <w:rPr>
          <w:rStyle w:val="IntenseReference"/>
          <w:color w:val="auto"/>
        </w:rPr>
        <w:t xml:space="preserve"> – Ireland’s Strategy for Early Childhood</w:t>
      </w:r>
    </w:p>
    <w:p w14:paraId="3680E43F" w14:textId="77777777" w:rsidR="005968C3" w:rsidRPr="005B6AA4" w:rsidRDefault="005968C3" w:rsidP="005B6AA4">
      <w:pPr>
        <w:spacing w:after="0" w:line="360" w:lineRule="auto"/>
        <w:jc w:val="both"/>
        <w:rPr>
          <w:rFonts w:cstheme="minorHAnsi"/>
        </w:rPr>
      </w:pPr>
    </w:p>
    <w:p w14:paraId="74C6C80F" w14:textId="3D5F573C" w:rsidR="00A85262" w:rsidRDefault="00A85262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 xml:space="preserve"> ‘First 5’ </w:t>
      </w:r>
      <w:r w:rsidR="000D78A0" w:rsidRPr="005B6AA4">
        <w:rPr>
          <w:rFonts w:cstheme="minorHAnsi"/>
        </w:rPr>
        <w:t xml:space="preserve">is </w:t>
      </w:r>
      <w:r w:rsidRPr="005B6AA4">
        <w:rPr>
          <w:rFonts w:cstheme="minorHAnsi"/>
        </w:rPr>
        <w:t>Ireland’s first ever strategy for early childhood. This ten-year, whole-of-Government Strategy will deliver:</w:t>
      </w:r>
    </w:p>
    <w:p w14:paraId="0DA2776F" w14:textId="77777777" w:rsidR="005B6AA4" w:rsidRPr="005B6AA4" w:rsidRDefault="005B6AA4" w:rsidP="005B6AA4">
      <w:pPr>
        <w:spacing w:after="0" w:line="360" w:lineRule="auto"/>
        <w:jc w:val="both"/>
        <w:rPr>
          <w:rFonts w:cstheme="minorHAnsi"/>
        </w:rPr>
      </w:pPr>
    </w:p>
    <w:p w14:paraId="5BDECDC2" w14:textId="09C10627" w:rsidR="00A85262" w:rsidRPr="005B6AA4" w:rsidRDefault="00A85262" w:rsidP="005B6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a broader range of options for parents to balance working and caring</w:t>
      </w:r>
    </w:p>
    <w:p w14:paraId="0D88829E" w14:textId="77777777" w:rsidR="00A85262" w:rsidRPr="005B6AA4" w:rsidRDefault="00A85262" w:rsidP="005B6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a new model of parenting support</w:t>
      </w:r>
    </w:p>
    <w:p w14:paraId="49079388" w14:textId="77777777" w:rsidR="00A85262" w:rsidRPr="005B6AA4" w:rsidRDefault="00A85262" w:rsidP="005B6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new developments in child health, including a dedicated child health workforce</w:t>
      </w:r>
    </w:p>
    <w:p w14:paraId="42B3A1B9" w14:textId="2BAAB5B9" w:rsidR="00A85262" w:rsidRPr="005B6AA4" w:rsidRDefault="00A85262" w:rsidP="005B6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reform of the Early Learning and Care system, including a new funding model</w:t>
      </w:r>
    </w:p>
    <w:p w14:paraId="004FFD78" w14:textId="77777777" w:rsidR="00A85262" w:rsidRPr="005B6AA4" w:rsidRDefault="00A85262" w:rsidP="005B6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a package of measures to tackle early childhood poverty</w:t>
      </w:r>
    </w:p>
    <w:p w14:paraId="7E452D58" w14:textId="77777777" w:rsidR="005B6AA4" w:rsidRDefault="005B6AA4" w:rsidP="005B6AA4">
      <w:pPr>
        <w:spacing w:after="0" w:line="360" w:lineRule="auto"/>
        <w:jc w:val="both"/>
        <w:rPr>
          <w:rFonts w:cstheme="minorHAnsi"/>
        </w:rPr>
      </w:pPr>
    </w:p>
    <w:p w14:paraId="1773F61C" w14:textId="44C615F5" w:rsidR="00A85262" w:rsidRPr="005B6AA4" w:rsidRDefault="00A85262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 Implementation Plan, published in May 2019, describes the ambitious steps that will be taken in the initial implementation phase – from 2019 to 2021.</w:t>
      </w:r>
    </w:p>
    <w:p w14:paraId="1F9C562E" w14:textId="77777777" w:rsidR="005B6AA4" w:rsidRDefault="005B6AA4" w:rsidP="005B6AA4">
      <w:pPr>
        <w:spacing w:after="0" w:line="360" w:lineRule="auto"/>
        <w:jc w:val="both"/>
        <w:rPr>
          <w:rFonts w:cstheme="minorHAnsi"/>
          <w:b/>
          <w:bCs/>
        </w:rPr>
      </w:pPr>
    </w:p>
    <w:p w14:paraId="58F7627B" w14:textId="3EE984E7" w:rsidR="00A85262" w:rsidRPr="005B6AA4" w:rsidRDefault="000D78A0" w:rsidP="005B6AA4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5B6AA4">
        <w:rPr>
          <w:rFonts w:cstheme="minorHAnsi"/>
          <w:b/>
          <w:bCs/>
          <w:u w:val="single"/>
        </w:rPr>
        <w:t>DCYA Progress to Date</w:t>
      </w:r>
    </w:p>
    <w:p w14:paraId="79C2A3B7" w14:textId="2CCCA09C" w:rsidR="000D78A0" w:rsidRDefault="00A85262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Considerable progress has already been made to deliver on the commitments in First 5 since it was published in November 2018.</w:t>
      </w:r>
    </w:p>
    <w:p w14:paraId="413A5EDB" w14:textId="77777777" w:rsidR="005B6AA4" w:rsidRPr="005B6AA4" w:rsidRDefault="005B6AA4" w:rsidP="005B6AA4">
      <w:pPr>
        <w:spacing w:after="0" w:line="360" w:lineRule="auto"/>
        <w:jc w:val="both"/>
        <w:rPr>
          <w:rFonts w:cstheme="minorHAnsi"/>
        </w:rPr>
      </w:pPr>
    </w:p>
    <w:p w14:paraId="528ACB72" w14:textId="7755DDC2" w:rsidR="00A85262" w:rsidRDefault="00A85262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Within the Department of Children and Youth Affairs</w:t>
      </w:r>
      <w:r w:rsidR="002D4445" w:rsidRPr="005B6AA4">
        <w:rPr>
          <w:rFonts w:cstheme="minorHAnsi"/>
        </w:rPr>
        <w:t>,</w:t>
      </w:r>
      <w:r w:rsidRPr="005B6AA4">
        <w:rPr>
          <w:rFonts w:cstheme="minorHAnsi"/>
        </w:rPr>
        <w:t xml:space="preserve"> some of the essential building blocks for successful implementation have been put in place. This includes</w:t>
      </w:r>
      <w:r w:rsidR="000D78A0" w:rsidRPr="005B6AA4">
        <w:rPr>
          <w:rFonts w:cstheme="minorHAnsi"/>
        </w:rPr>
        <w:t xml:space="preserve"> the establishment of</w:t>
      </w:r>
      <w:r w:rsidRPr="005B6AA4">
        <w:rPr>
          <w:rFonts w:cstheme="minorHAnsi"/>
        </w:rPr>
        <w:t xml:space="preserve"> a Parenting Support Policy Unit</w:t>
      </w:r>
      <w:r w:rsidR="004321D6" w:rsidRPr="005B6AA4">
        <w:rPr>
          <w:rFonts w:cstheme="minorHAnsi"/>
        </w:rPr>
        <w:t xml:space="preserve"> and </w:t>
      </w:r>
      <w:r w:rsidR="00900FC5" w:rsidRPr="005B6AA4">
        <w:rPr>
          <w:rFonts w:cstheme="minorHAnsi"/>
        </w:rPr>
        <w:t xml:space="preserve">publication of a </w:t>
      </w:r>
      <w:r w:rsidR="004321D6" w:rsidRPr="005B6AA4">
        <w:rPr>
          <w:rFonts w:cstheme="minorHAnsi"/>
        </w:rPr>
        <w:t xml:space="preserve">call for tenders to undertake a </w:t>
      </w:r>
      <w:r w:rsidR="002D4445" w:rsidRPr="005B6AA4">
        <w:rPr>
          <w:rFonts w:cstheme="minorHAnsi"/>
        </w:rPr>
        <w:t xml:space="preserve">national </w:t>
      </w:r>
      <w:r w:rsidR="004321D6" w:rsidRPr="005B6AA4">
        <w:rPr>
          <w:rFonts w:cstheme="minorHAnsi"/>
        </w:rPr>
        <w:t>study on parents’ support needs. A</w:t>
      </w:r>
      <w:r w:rsidRPr="005B6AA4">
        <w:rPr>
          <w:rFonts w:cstheme="minorHAnsi"/>
        </w:rPr>
        <w:t xml:space="preserve"> First 5 Implementation Office</w:t>
      </w:r>
      <w:r w:rsidR="004321D6" w:rsidRPr="005B6AA4">
        <w:rPr>
          <w:rFonts w:cstheme="minorHAnsi"/>
        </w:rPr>
        <w:t xml:space="preserve"> has also been established</w:t>
      </w:r>
      <w:r w:rsidRPr="005B6AA4">
        <w:rPr>
          <w:rFonts w:cstheme="minorHAnsi"/>
        </w:rPr>
        <w:t>.</w:t>
      </w:r>
      <w:r w:rsidR="004321D6" w:rsidRPr="005B6AA4">
        <w:rPr>
          <w:rFonts w:cstheme="minorHAnsi"/>
        </w:rPr>
        <w:t xml:space="preserve"> </w:t>
      </w:r>
    </w:p>
    <w:p w14:paraId="34295264" w14:textId="77777777" w:rsidR="005B6AA4" w:rsidRPr="005B6AA4" w:rsidRDefault="005B6AA4" w:rsidP="005B6AA4">
      <w:pPr>
        <w:spacing w:after="0" w:line="360" w:lineRule="auto"/>
        <w:jc w:val="both"/>
        <w:rPr>
          <w:rFonts w:cstheme="minorHAnsi"/>
        </w:rPr>
      </w:pPr>
    </w:p>
    <w:p w14:paraId="2520A52E" w14:textId="304A83FF" w:rsidR="000D78A0" w:rsidRDefault="000D78A0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Significant progress has also been made to drive the reforms in the Early Learning and Care a</w:t>
      </w:r>
      <w:r w:rsidR="00900FC5" w:rsidRPr="005B6AA4">
        <w:rPr>
          <w:rFonts w:cstheme="minorHAnsi"/>
        </w:rPr>
        <w:t>n</w:t>
      </w:r>
      <w:r w:rsidRPr="005B6AA4">
        <w:rPr>
          <w:rFonts w:cstheme="minorHAnsi"/>
        </w:rPr>
        <w:t>d School-Age Childcare Sector, including:</w:t>
      </w:r>
    </w:p>
    <w:p w14:paraId="35B693EC" w14:textId="77777777" w:rsidR="005B6AA4" w:rsidRPr="005B6AA4" w:rsidRDefault="005B6AA4" w:rsidP="005B6AA4">
      <w:pPr>
        <w:spacing w:after="0" w:line="360" w:lineRule="auto"/>
        <w:jc w:val="both"/>
        <w:rPr>
          <w:rFonts w:cstheme="minorHAnsi"/>
        </w:rPr>
      </w:pPr>
    </w:p>
    <w:p w14:paraId="19205E6D" w14:textId="754B8763" w:rsidR="00A85262" w:rsidRPr="005B6AA4" w:rsidRDefault="00A85262" w:rsidP="005B6A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 xml:space="preserve">The </w:t>
      </w:r>
      <w:r w:rsidR="000D78A0" w:rsidRPr="005B6AA4">
        <w:rPr>
          <w:rFonts w:cstheme="minorHAnsi"/>
        </w:rPr>
        <w:t xml:space="preserve">establishment of the </w:t>
      </w:r>
      <w:r w:rsidRPr="005B6AA4">
        <w:rPr>
          <w:rFonts w:cstheme="minorHAnsi"/>
        </w:rPr>
        <w:t xml:space="preserve">Steering Group on the Workforce Development Plan for the Early Learning and Care and School-Age Childcare Sector </w:t>
      </w:r>
    </w:p>
    <w:p w14:paraId="31ABA9AF" w14:textId="44C0D0A6" w:rsidR="00A85262" w:rsidRPr="005B6AA4" w:rsidRDefault="000D78A0" w:rsidP="005B6A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 establishment of an</w:t>
      </w:r>
      <w:r w:rsidR="00A85262" w:rsidRPr="005B6AA4">
        <w:rPr>
          <w:rFonts w:cstheme="minorHAnsi"/>
        </w:rPr>
        <w:t xml:space="preserve"> Expert Group to develop a new funding model for the Early Learning and Care and School-Age Childcare.</w:t>
      </w:r>
    </w:p>
    <w:p w14:paraId="34115456" w14:textId="7A3020C1" w:rsidR="000D78A0" w:rsidRPr="005B6AA4" w:rsidRDefault="000D78A0" w:rsidP="005B6A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lastRenderedPageBreak/>
        <w:t>The publication of the draft Childminding Action plan (for consultation)</w:t>
      </w:r>
    </w:p>
    <w:p w14:paraId="23657E4E" w14:textId="78B1485C" w:rsidR="000D78A0" w:rsidRPr="005B6AA4" w:rsidRDefault="000D78A0" w:rsidP="005B6A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 introduction of initial regulations for school-age childcare, and public consultation on comprehensive regulations.</w:t>
      </w:r>
    </w:p>
    <w:p w14:paraId="4431F6F2" w14:textId="385586BF" w:rsidR="004321D6" w:rsidRDefault="004321D6" w:rsidP="005B6A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 xml:space="preserve">The publication of agreed criteria and guidelines for further and higher education for Early Learning and Care and School-Age Childcare qualifications including access and entry requirements; knowledge and content of programmes and the incorporation of supervised professional practice </w:t>
      </w:r>
    </w:p>
    <w:p w14:paraId="441F2833" w14:textId="77777777" w:rsidR="005B6AA4" w:rsidRPr="005B6AA4" w:rsidRDefault="005B6AA4" w:rsidP="005B6AA4">
      <w:pPr>
        <w:pStyle w:val="ListParagraph"/>
        <w:spacing w:after="0" w:line="360" w:lineRule="auto"/>
        <w:jc w:val="both"/>
        <w:rPr>
          <w:rFonts w:cstheme="minorHAnsi"/>
        </w:rPr>
      </w:pPr>
    </w:p>
    <w:p w14:paraId="21996D2D" w14:textId="7A560C0F" w:rsidR="00A85262" w:rsidRDefault="00A85262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Adding to this, intensive preparations for the launch of the landmark National Childcare Scheme later this year continue</w:t>
      </w:r>
      <w:r w:rsidR="004321D6" w:rsidRPr="005B6AA4">
        <w:rPr>
          <w:rFonts w:cstheme="minorHAnsi"/>
        </w:rPr>
        <w:t>.</w:t>
      </w:r>
    </w:p>
    <w:p w14:paraId="52198BFE" w14:textId="77777777" w:rsidR="005B6AA4" w:rsidRPr="005B6AA4" w:rsidRDefault="005B6AA4" w:rsidP="005B6AA4">
      <w:pPr>
        <w:spacing w:after="0" w:line="360" w:lineRule="auto"/>
        <w:jc w:val="both"/>
        <w:rPr>
          <w:rFonts w:cstheme="minorHAnsi"/>
        </w:rPr>
      </w:pPr>
    </w:p>
    <w:p w14:paraId="57E6CB78" w14:textId="77777777" w:rsidR="000D78A0" w:rsidRPr="005B6AA4" w:rsidRDefault="000D78A0" w:rsidP="005B6AA4">
      <w:pPr>
        <w:spacing w:after="0" w:line="360" w:lineRule="auto"/>
        <w:jc w:val="both"/>
        <w:rPr>
          <w:rFonts w:cstheme="minorHAnsi"/>
          <w:b/>
          <w:bCs/>
        </w:rPr>
      </w:pPr>
      <w:r w:rsidRPr="005B6AA4">
        <w:rPr>
          <w:rFonts w:cstheme="minorHAnsi"/>
          <w:b/>
          <w:bCs/>
        </w:rPr>
        <w:t>Wider Progress to Date</w:t>
      </w:r>
    </w:p>
    <w:p w14:paraId="3AD45FAC" w14:textId="66619389" w:rsidR="00A85262" w:rsidRPr="005B6AA4" w:rsidRDefault="00A85262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 xml:space="preserve">First 5 is a collaborative effort across Government. </w:t>
      </w:r>
      <w:r w:rsidR="00900FC5" w:rsidRPr="005B6AA4">
        <w:rPr>
          <w:rFonts w:cstheme="minorHAnsi"/>
        </w:rPr>
        <w:t>K</w:t>
      </w:r>
      <w:r w:rsidRPr="005B6AA4">
        <w:rPr>
          <w:rFonts w:cstheme="minorHAnsi"/>
        </w:rPr>
        <w:t>ey achievement</w:t>
      </w:r>
      <w:r w:rsidR="00773BE0" w:rsidRPr="005B6AA4">
        <w:rPr>
          <w:rFonts w:cstheme="minorHAnsi"/>
        </w:rPr>
        <w:t>s across other Departments</w:t>
      </w:r>
      <w:r w:rsidRPr="005B6AA4">
        <w:rPr>
          <w:rFonts w:cstheme="minorHAnsi"/>
        </w:rPr>
        <w:t xml:space="preserve"> </w:t>
      </w:r>
      <w:r w:rsidR="00900FC5" w:rsidRPr="005B6AA4">
        <w:rPr>
          <w:rFonts w:cstheme="minorHAnsi"/>
        </w:rPr>
        <w:t xml:space="preserve">to date </w:t>
      </w:r>
      <w:r w:rsidRPr="005B6AA4">
        <w:rPr>
          <w:rFonts w:cstheme="minorHAnsi"/>
        </w:rPr>
        <w:t>includes:</w:t>
      </w:r>
    </w:p>
    <w:p w14:paraId="2629A4AF" w14:textId="5755E6CF" w:rsidR="00773BE0" w:rsidRPr="005B6AA4" w:rsidRDefault="00A85262" w:rsidP="005B6A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</w:t>
      </w:r>
      <w:r w:rsidR="00773BE0" w:rsidRPr="005B6AA4">
        <w:rPr>
          <w:rFonts w:cstheme="minorHAnsi"/>
        </w:rPr>
        <w:t xml:space="preserve"> </w:t>
      </w:r>
      <w:r w:rsidR="004321D6" w:rsidRPr="005B6AA4">
        <w:rPr>
          <w:rFonts w:cstheme="minorHAnsi"/>
        </w:rPr>
        <w:t xml:space="preserve">recent </w:t>
      </w:r>
      <w:r w:rsidR="00773BE0" w:rsidRPr="005B6AA4">
        <w:rPr>
          <w:rFonts w:cstheme="minorHAnsi"/>
        </w:rPr>
        <w:t xml:space="preserve">publication of the Parents Leave and Benefits Bill, which will provide for an individual entitlement to two weeks of paid parental leave per parent (up to a potential four weeks in total per child) from </w:t>
      </w:r>
      <w:r w:rsidR="005B6AA4" w:rsidRPr="005B6AA4">
        <w:rPr>
          <w:rFonts w:cstheme="minorHAnsi"/>
        </w:rPr>
        <w:t>November 2019</w:t>
      </w:r>
      <w:r w:rsidR="00773BE0" w:rsidRPr="005B6AA4">
        <w:rPr>
          <w:rFonts w:cstheme="minorHAnsi"/>
        </w:rPr>
        <w:t xml:space="preserve"> (with a commitment to extend the individual entitlement to seven weeks of paid parental leave per parent by 2021).</w:t>
      </w:r>
    </w:p>
    <w:p w14:paraId="474B438B" w14:textId="77777777" w:rsidR="002D4445" w:rsidRPr="005B6AA4" w:rsidRDefault="00773BE0" w:rsidP="005B6A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 extension of unpaid parental leave from 18 to 22 weeks since September 2019 (with a further 4</w:t>
      </w:r>
      <w:r w:rsidR="000D78A0" w:rsidRPr="005B6AA4">
        <w:rPr>
          <w:rFonts w:cstheme="minorHAnsi"/>
        </w:rPr>
        <w:t>-</w:t>
      </w:r>
      <w:r w:rsidRPr="005B6AA4">
        <w:rPr>
          <w:rFonts w:cstheme="minorHAnsi"/>
        </w:rPr>
        <w:t>week extension from September 2020)</w:t>
      </w:r>
    </w:p>
    <w:p w14:paraId="520AAE68" w14:textId="77777777" w:rsidR="00900FC5" w:rsidRPr="005B6AA4" w:rsidRDefault="002D4445" w:rsidP="005B6A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 development of measures to extend library structured support to babies and young children</w:t>
      </w:r>
      <w:r w:rsidR="00900FC5" w:rsidRPr="005B6AA4">
        <w:rPr>
          <w:rFonts w:cstheme="minorHAnsi"/>
        </w:rPr>
        <w:t xml:space="preserve"> </w:t>
      </w:r>
    </w:p>
    <w:p w14:paraId="2DD1455A" w14:textId="27E2D6AF" w:rsidR="002D4445" w:rsidRPr="005B6AA4" w:rsidRDefault="00900FC5" w:rsidP="005B6A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B6AA4">
        <w:rPr>
          <w:rFonts w:cstheme="minorHAnsi"/>
        </w:rPr>
        <w:t>The establishment a Joint Working Group on Food Poverty</w:t>
      </w:r>
      <w:r w:rsidR="00773BE0" w:rsidRPr="005B6AA4">
        <w:rPr>
          <w:rFonts w:cstheme="minorHAnsi"/>
        </w:rPr>
        <w:t>.</w:t>
      </w:r>
    </w:p>
    <w:p w14:paraId="10FC5A97" w14:textId="77777777" w:rsidR="005B6AA4" w:rsidRDefault="005B6AA4" w:rsidP="005B6AA4">
      <w:pPr>
        <w:spacing w:after="0" w:line="360" w:lineRule="auto"/>
        <w:jc w:val="both"/>
        <w:rPr>
          <w:rFonts w:cstheme="minorHAnsi"/>
          <w:b/>
          <w:bCs/>
        </w:rPr>
      </w:pPr>
    </w:p>
    <w:p w14:paraId="39B4750B" w14:textId="391C6285" w:rsidR="00A85262" w:rsidRPr="005B6AA4" w:rsidRDefault="000D78A0" w:rsidP="005B6AA4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5B6AA4">
        <w:rPr>
          <w:rFonts w:cstheme="minorHAnsi"/>
          <w:b/>
          <w:bCs/>
          <w:u w:val="single"/>
        </w:rPr>
        <w:t>2020</w:t>
      </w:r>
      <w:r w:rsidR="002D4445" w:rsidRPr="005B6AA4">
        <w:rPr>
          <w:rFonts w:cstheme="minorHAnsi"/>
          <w:b/>
          <w:bCs/>
          <w:u w:val="single"/>
        </w:rPr>
        <w:t xml:space="preserve"> Priorities</w:t>
      </w:r>
    </w:p>
    <w:p w14:paraId="088390ED" w14:textId="3C2C1744" w:rsidR="00900FC5" w:rsidRPr="005B6AA4" w:rsidRDefault="000D78A0" w:rsidP="005B6AA4">
      <w:pPr>
        <w:spacing w:after="0" w:line="360" w:lineRule="auto"/>
        <w:jc w:val="both"/>
        <w:rPr>
          <w:rFonts w:cstheme="minorHAnsi"/>
          <w:bCs/>
        </w:rPr>
      </w:pPr>
      <w:r w:rsidRPr="005B6AA4">
        <w:rPr>
          <w:rFonts w:cstheme="minorHAnsi"/>
          <w:bCs/>
        </w:rPr>
        <w:t>Implementation efforts will intensi</w:t>
      </w:r>
      <w:r w:rsidR="002D4445" w:rsidRPr="005B6AA4">
        <w:rPr>
          <w:rFonts w:cstheme="minorHAnsi"/>
          <w:bCs/>
        </w:rPr>
        <w:t>f</w:t>
      </w:r>
      <w:r w:rsidRPr="005B6AA4">
        <w:rPr>
          <w:rFonts w:cstheme="minorHAnsi"/>
          <w:bCs/>
        </w:rPr>
        <w:t>y in 2020</w:t>
      </w:r>
      <w:r w:rsidR="00900FC5" w:rsidRPr="005B6AA4">
        <w:rPr>
          <w:rFonts w:cstheme="minorHAnsi"/>
          <w:bCs/>
        </w:rPr>
        <w:t>. All work to be progress in 2020 is set out in the First 5 Implementation Plan.</w:t>
      </w:r>
    </w:p>
    <w:p w14:paraId="02855F54" w14:textId="77777777" w:rsidR="005B6AA4" w:rsidRPr="005B6AA4" w:rsidRDefault="005B6AA4" w:rsidP="005B6AA4">
      <w:pPr>
        <w:spacing w:after="0" w:line="360" w:lineRule="auto"/>
        <w:jc w:val="both"/>
        <w:rPr>
          <w:rFonts w:cstheme="minorHAnsi"/>
          <w:b/>
          <w:bCs/>
        </w:rPr>
      </w:pPr>
    </w:p>
    <w:p w14:paraId="03DCF119" w14:textId="24BE0770" w:rsidR="000D78A0" w:rsidRPr="005B6AA4" w:rsidRDefault="002D4445" w:rsidP="005B6AA4">
      <w:pPr>
        <w:spacing w:after="0" w:line="360" w:lineRule="auto"/>
        <w:jc w:val="both"/>
        <w:rPr>
          <w:rFonts w:cstheme="minorHAnsi"/>
          <w:b/>
          <w:bCs/>
        </w:rPr>
      </w:pPr>
      <w:r w:rsidRPr="005B6AA4">
        <w:rPr>
          <w:rFonts w:cstheme="minorHAnsi"/>
          <w:b/>
          <w:bCs/>
        </w:rPr>
        <w:t>With €700k in additional funding secured in Budget 2020,</w:t>
      </w:r>
      <w:r w:rsidR="004321D6" w:rsidRPr="005B6AA4">
        <w:rPr>
          <w:rFonts w:cstheme="minorHAnsi"/>
          <w:b/>
          <w:bCs/>
        </w:rPr>
        <w:t xml:space="preserve"> DCYA</w:t>
      </w:r>
      <w:r w:rsidRPr="005B6AA4">
        <w:rPr>
          <w:rFonts w:cstheme="minorHAnsi"/>
          <w:b/>
          <w:bCs/>
        </w:rPr>
        <w:t xml:space="preserve"> will</w:t>
      </w:r>
      <w:r w:rsidR="00900FC5" w:rsidRPr="005B6AA4">
        <w:rPr>
          <w:rFonts w:cstheme="minorHAnsi"/>
          <w:b/>
          <w:bCs/>
        </w:rPr>
        <w:t>:</w:t>
      </w:r>
    </w:p>
    <w:p w14:paraId="306ECC10" w14:textId="0464F792" w:rsidR="00900FC5" w:rsidRPr="005B6AA4" w:rsidRDefault="00900FC5" w:rsidP="005B6AA4">
      <w:pPr>
        <w:spacing w:after="0" w:line="360" w:lineRule="auto"/>
        <w:jc w:val="both"/>
        <w:rPr>
          <w:rFonts w:eastAsia="Calibri" w:cstheme="minorHAnsi"/>
        </w:rPr>
      </w:pPr>
      <w:r w:rsidRPr="005B6AA4">
        <w:rPr>
          <w:rFonts w:eastAsia="Calibri" w:cstheme="minorHAnsi"/>
        </w:rPr>
        <w:t>Progress a range of</w:t>
      </w:r>
      <w:r w:rsidR="002D4445" w:rsidRPr="005B6AA4">
        <w:rPr>
          <w:rFonts w:eastAsia="Calibri" w:cstheme="minorHAnsi"/>
        </w:rPr>
        <w:t xml:space="preserve"> research/data activities to fulfil commitments agreed in First 5 including the evaluation of the Early Childhood Care and Education (ECCE) programme; Research on the ELC Needs of Parents Working Atypical Hours, Research on the Potential for Joined up Service Development in ELC,</w:t>
      </w:r>
      <w:r w:rsidRPr="005B6AA4">
        <w:rPr>
          <w:rFonts w:eastAsia="Calibri" w:cstheme="minorHAnsi"/>
        </w:rPr>
        <w:t xml:space="preserve"> and</w:t>
      </w:r>
      <w:r w:rsidR="002D4445" w:rsidRPr="005B6AA4">
        <w:rPr>
          <w:rFonts w:eastAsia="Calibri" w:cstheme="minorHAnsi"/>
        </w:rPr>
        <w:t xml:space="preserve"> the establishment of a First 5 Research Observatory.</w:t>
      </w:r>
    </w:p>
    <w:p w14:paraId="3687D6AD" w14:textId="77777777" w:rsidR="00900FC5" w:rsidRPr="005B6AA4" w:rsidRDefault="00900FC5" w:rsidP="005B6AA4">
      <w:pPr>
        <w:spacing w:after="0" w:line="360" w:lineRule="auto"/>
        <w:jc w:val="both"/>
        <w:rPr>
          <w:rFonts w:eastAsia="Calibri" w:cstheme="minorHAnsi"/>
        </w:rPr>
      </w:pPr>
    </w:p>
    <w:p w14:paraId="2281C8F7" w14:textId="41CAECEC" w:rsidR="002D4445" w:rsidRPr="005B6AA4" w:rsidRDefault="00900FC5" w:rsidP="005B6AA4">
      <w:pPr>
        <w:spacing w:after="0" w:line="360" w:lineRule="auto"/>
        <w:jc w:val="both"/>
        <w:rPr>
          <w:rFonts w:eastAsia="Calibri" w:cstheme="minorHAnsi"/>
        </w:rPr>
      </w:pPr>
      <w:r w:rsidRPr="005B6AA4">
        <w:rPr>
          <w:rFonts w:eastAsia="Times New Roman" w:cstheme="minorHAnsi"/>
          <w:color w:val="000000"/>
          <w:lang w:eastAsia="en-IE"/>
        </w:rPr>
        <w:lastRenderedPageBreak/>
        <w:t>Progress the Development of a New Funding Model for ELC and SAC</w:t>
      </w:r>
      <w:r w:rsidRPr="005B6AA4">
        <w:rPr>
          <w:rFonts w:eastAsia="Calibri" w:cstheme="minorHAnsi"/>
        </w:rPr>
        <w:t>, which i</w:t>
      </w:r>
      <w:r w:rsidR="002D4445" w:rsidRPr="005B6AA4">
        <w:rPr>
          <w:rFonts w:eastAsia="Calibri" w:cstheme="minorHAnsi"/>
        </w:rPr>
        <w:t xml:space="preserve">s a major strategic project committed to under First 5. The project will be overseen by an independent Expert Group including national and international experts which will be supported by a research partner (the procurement process for which is currently underway) who will contribute a series of research paper to the Expert Group and manage the significant stakeholder engagement and consultation process which will be required for the process. </w:t>
      </w:r>
    </w:p>
    <w:p w14:paraId="680766D9" w14:textId="77777777" w:rsidR="002D4445" w:rsidRPr="005B6AA4" w:rsidRDefault="002D4445" w:rsidP="005B6AA4">
      <w:pPr>
        <w:spacing w:after="0" w:line="360" w:lineRule="auto"/>
        <w:jc w:val="both"/>
        <w:rPr>
          <w:rFonts w:eastAsia="Calibri" w:cstheme="minorHAnsi"/>
        </w:rPr>
      </w:pPr>
    </w:p>
    <w:p w14:paraId="65CA7464" w14:textId="57C06C39" w:rsidR="002D4445" w:rsidRPr="005B6AA4" w:rsidRDefault="00900FC5" w:rsidP="005B6AA4">
      <w:pPr>
        <w:spacing w:after="0" w:line="360" w:lineRule="auto"/>
        <w:contextualSpacing/>
        <w:jc w:val="both"/>
        <w:rPr>
          <w:rFonts w:eastAsia="Calibri" w:cstheme="minorHAnsi"/>
        </w:rPr>
      </w:pPr>
      <w:r w:rsidRPr="005B6AA4">
        <w:rPr>
          <w:rFonts w:eastAsia="Calibri" w:cstheme="minorHAnsi"/>
        </w:rPr>
        <w:t xml:space="preserve">Progress a </w:t>
      </w:r>
      <w:r w:rsidR="002D4445" w:rsidRPr="005B6AA4">
        <w:rPr>
          <w:rFonts w:eastAsia="Calibri" w:cstheme="minorHAnsi"/>
        </w:rPr>
        <w:t xml:space="preserve">pilot meals programme in ELC, in 45 not-for-profit ELC settings in 2020. The focus of pilot meals programme will be children enrolled on the ECCE Programme. The pilot will operate for the full duration of the 2020/21 ECCE Programme year (i.e. 38 weeks from September to June) and will be subject to a full evaluation. </w:t>
      </w:r>
    </w:p>
    <w:p w14:paraId="22E00B8D" w14:textId="77777777" w:rsidR="002D4445" w:rsidRPr="005B6AA4" w:rsidRDefault="002D4445" w:rsidP="005B6AA4">
      <w:pPr>
        <w:spacing w:after="0" w:line="360" w:lineRule="auto"/>
        <w:contextualSpacing/>
        <w:jc w:val="both"/>
        <w:rPr>
          <w:rFonts w:eastAsia="Calibri" w:cstheme="minorHAnsi"/>
        </w:rPr>
      </w:pPr>
    </w:p>
    <w:p w14:paraId="19F49D84" w14:textId="6751BF8F" w:rsidR="002D4445" w:rsidRPr="005B6AA4" w:rsidRDefault="00900FC5" w:rsidP="005B6AA4">
      <w:pPr>
        <w:spacing w:after="0" w:line="360" w:lineRule="auto"/>
        <w:jc w:val="both"/>
        <w:rPr>
          <w:rFonts w:cstheme="minorHAnsi"/>
        </w:rPr>
      </w:pPr>
      <w:r w:rsidRPr="005B6AA4">
        <w:rPr>
          <w:rFonts w:eastAsia="Calibri" w:cstheme="minorHAnsi"/>
        </w:rPr>
        <w:t>Support the</w:t>
      </w:r>
      <w:r w:rsidR="002D4445" w:rsidRPr="005B6AA4">
        <w:rPr>
          <w:rFonts w:eastAsia="Calibri" w:cstheme="minorHAnsi"/>
        </w:rPr>
        <w:t xml:space="preserve"> development of a model of supports for learning transitions and parental engagement in ELC</w:t>
      </w:r>
      <w:r w:rsidRPr="005B6AA4">
        <w:rPr>
          <w:rFonts w:eastAsia="Calibri" w:cstheme="minorHAnsi"/>
        </w:rPr>
        <w:t xml:space="preserve"> and specifically a </w:t>
      </w:r>
      <w:r w:rsidR="002D4445" w:rsidRPr="005B6AA4">
        <w:rPr>
          <w:rFonts w:eastAsia="Calibri" w:cstheme="minorHAnsi"/>
        </w:rPr>
        <w:t xml:space="preserve">first output from this </w:t>
      </w:r>
      <w:r w:rsidRPr="005B6AA4">
        <w:rPr>
          <w:rFonts w:eastAsia="Calibri" w:cstheme="minorHAnsi"/>
        </w:rPr>
        <w:t xml:space="preserve">work </w:t>
      </w:r>
      <w:r w:rsidR="002D4445" w:rsidRPr="005B6AA4">
        <w:rPr>
          <w:rFonts w:eastAsia="Calibri" w:cstheme="minorHAnsi"/>
        </w:rPr>
        <w:t xml:space="preserve">‘guidance and information for parents and families on ELC and SAC, including information on ELC and SAC options and entitlements and guidance on key indicators of high-quality provision’. </w:t>
      </w:r>
    </w:p>
    <w:p w14:paraId="0C31C152" w14:textId="77777777" w:rsidR="00900FC5" w:rsidRPr="005B6AA4" w:rsidRDefault="00900FC5" w:rsidP="005B6AA4">
      <w:pPr>
        <w:spacing w:after="0" w:line="360" w:lineRule="auto"/>
        <w:rPr>
          <w:rFonts w:cstheme="minorHAnsi"/>
        </w:rPr>
      </w:pPr>
    </w:p>
    <w:p w14:paraId="14284776" w14:textId="51A6C1E7" w:rsidR="002D4445" w:rsidRDefault="002D4445" w:rsidP="005B6AA4">
      <w:p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>Across other Government Departments there will be</w:t>
      </w:r>
    </w:p>
    <w:p w14:paraId="05699117" w14:textId="77777777" w:rsidR="005B6AA4" w:rsidRPr="005B6AA4" w:rsidRDefault="005B6AA4" w:rsidP="005B6AA4">
      <w:pPr>
        <w:spacing w:after="0" w:line="360" w:lineRule="auto"/>
        <w:rPr>
          <w:rFonts w:cstheme="minorHAnsi"/>
        </w:rPr>
      </w:pPr>
    </w:p>
    <w:p w14:paraId="106134C4" w14:textId="7C2F350C" w:rsidR="004321D6" w:rsidRPr="005B6AA4" w:rsidRDefault="004321D6" w:rsidP="005B6AA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>Piloting of the milk programmes with early learning and care settings</w:t>
      </w:r>
    </w:p>
    <w:p w14:paraId="0A369D5F" w14:textId="10F7E036" w:rsidR="00A85262" w:rsidRPr="005B6AA4" w:rsidRDefault="00A85262" w:rsidP="005B6AA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>new Healthy Eating Guidelines for 1–5 Year Olds</w:t>
      </w:r>
    </w:p>
    <w:p w14:paraId="6C3FF96F" w14:textId="77777777" w:rsidR="00A85262" w:rsidRPr="005B6AA4" w:rsidRDefault="00A85262" w:rsidP="005B6AA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>new Nutrition Standards for Early Learning and Care settings for 1–5 Year Olds, including a toolkit for implementation</w:t>
      </w:r>
    </w:p>
    <w:p w14:paraId="5A4B4FDC" w14:textId="276CFCD0" w:rsidR="00A85262" w:rsidRPr="005B6AA4" w:rsidRDefault="00A85262" w:rsidP="005B6AA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>new preventive oral healthcare packages introduced for children under 6</w:t>
      </w:r>
    </w:p>
    <w:p w14:paraId="1B2B7C59" w14:textId="069D85C5" w:rsidR="004321D6" w:rsidRPr="005B6AA4" w:rsidRDefault="004321D6" w:rsidP="005B6AA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 xml:space="preserve">an </w:t>
      </w:r>
      <w:r w:rsidR="002D4445" w:rsidRPr="005B6AA4">
        <w:rPr>
          <w:rFonts w:cstheme="minorHAnsi"/>
        </w:rPr>
        <w:t>extension</w:t>
      </w:r>
      <w:r w:rsidRPr="005B6AA4">
        <w:rPr>
          <w:rFonts w:cstheme="minorHAnsi"/>
        </w:rPr>
        <w:t xml:space="preserve"> to the Home Carer Tax credit</w:t>
      </w:r>
    </w:p>
    <w:p w14:paraId="14881710" w14:textId="494304D1" w:rsidR="004321D6" w:rsidRPr="005B6AA4" w:rsidRDefault="002D4445" w:rsidP="005B6AA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5B6AA4">
        <w:rPr>
          <w:rFonts w:cstheme="minorHAnsi"/>
        </w:rPr>
        <w:t xml:space="preserve">new </w:t>
      </w:r>
      <w:r w:rsidR="004321D6" w:rsidRPr="005B6AA4">
        <w:rPr>
          <w:rFonts w:cstheme="minorHAnsi"/>
        </w:rPr>
        <w:t>guidance and tools to facilitate employers to offer more family-friendly working options, so that over the course of the Strategy employment legislation, culture and practice enables parents to balance working with caring, while also promoting gender equality</w:t>
      </w:r>
    </w:p>
    <w:p w14:paraId="3743C6D9" w14:textId="77777777" w:rsidR="005B6AA4" w:rsidRDefault="005B6AA4" w:rsidP="005B6AA4">
      <w:pPr>
        <w:spacing w:after="0" w:line="360" w:lineRule="auto"/>
        <w:ind w:left="360"/>
        <w:rPr>
          <w:rFonts w:cstheme="minorHAnsi"/>
        </w:rPr>
      </w:pPr>
    </w:p>
    <w:p w14:paraId="3BA44C55" w14:textId="3DEFE57D" w:rsidR="00A85262" w:rsidRPr="005B6AA4" w:rsidRDefault="00A85262" w:rsidP="005B6AA4">
      <w:pPr>
        <w:spacing w:after="0" w:line="360" w:lineRule="auto"/>
        <w:ind w:left="360"/>
        <w:rPr>
          <w:rFonts w:cstheme="minorHAnsi"/>
        </w:rPr>
      </w:pPr>
      <w:r w:rsidRPr="005B6AA4">
        <w:rPr>
          <w:rFonts w:cstheme="minorHAnsi"/>
        </w:rPr>
        <w:t xml:space="preserve">There will also be progress made in the development of a dedicated child health workforce, focussed initially in areas of high population density and disadvantage, with the foundational work needed for this transformative action </w:t>
      </w:r>
      <w:r w:rsidR="002D4445" w:rsidRPr="005B6AA4">
        <w:rPr>
          <w:rFonts w:cstheme="minorHAnsi"/>
        </w:rPr>
        <w:t>progressed in 2020</w:t>
      </w:r>
      <w:r w:rsidRPr="005B6AA4">
        <w:rPr>
          <w:rFonts w:cstheme="minorHAnsi"/>
        </w:rPr>
        <w:t>.</w:t>
      </w:r>
      <w:r w:rsidR="004321D6" w:rsidRPr="005B6AA4">
        <w:rPr>
          <w:rFonts w:cstheme="minorHAnsi"/>
        </w:rPr>
        <w:t xml:space="preserve"> </w:t>
      </w:r>
      <w:bookmarkEnd w:id="0"/>
    </w:p>
    <w:sectPr w:rsidR="00A85262" w:rsidRPr="005B6A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4051E" w14:textId="77777777" w:rsidR="004C060B" w:rsidRDefault="004C060B" w:rsidP="002D4445">
      <w:pPr>
        <w:spacing w:after="0" w:line="240" w:lineRule="auto"/>
      </w:pPr>
      <w:r>
        <w:separator/>
      </w:r>
    </w:p>
  </w:endnote>
  <w:endnote w:type="continuationSeparator" w:id="0">
    <w:p w14:paraId="250F3918" w14:textId="77777777" w:rsidR="004C060B" w:rsidRDefault="004C060B" w:rsidP="002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69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AB2E28" w14:textId="6FFEBD11" w:rsidR="005B6AA4" w:rsidRDefault="005B6A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D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17A10E" w14:textId="77777777" w:rsidR="005B6AA4" w:rsidRDefault="005B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62F8" w14:textId="77777777" w:rsidR="004C060B" w:rsidRDefault="004C060B" w:rsidP="002D4445">
      <w:pPr>
        <w:spacing w:after="0" w:line="240" w:lineRule="auto"/>
      </w:pPr>
      <w:r>
        <w:separator/>
      </w:r>
    </w:p>
  </w:footnote>
  <w:footnote w:type="continuationSeparator" w:id="0">
    <w:p w14:paraId="3868C12B" w14:textId="77777777" w:rsidR="004C060B" w:rsidRDefault="004C060B" w:rsidP="002D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412"/>
    <w:multiLevelType w:val="hybridMultilevel"/>
    <w:tmpl w:val="81E0EC3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2005"/>
    <w:multiLevelType w:val="hybridMultilevel"/>
    <w:tmpl w:val="4606E7F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E0956"/>
    <w:multiLevelType w:val="hybridMultilevel"/>
    <w:tmpl w:val="A04CF5C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CA2"/>
    <w:multiLevelType w:val="hybridMultilevel"/>
    <w:tmpl w:val="757C77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30EAD"/>
    <w:multiLevelType w:val="hybridMultilevel"/>
    <w:tmpl w:val="9078F98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2"/>
    <w:rsid w:val="000D78A0"/>
    <w:rsid w:val="002D4445"/>
    <w:rsid w:val="004321D6"/>
    <w:rsid w:val="004C060B"/>
    <w:rsid w:val="0050126F"/>
    <w:rsid w:val="005968C3"/>
    <w:rsid w:val="005B6AA4"/>
    <w:rsid w:val="00662307"/>
    <w:rsid w:val="00773BE0"/>
    <w:rsid w:val="00900FC5"/>
    <w:rsid w:val="00A85262"/>
    <w:rsid w:val="00DE36F3"/>
    <w:rsid w:val="00E72A86"/>
    <w:rsid w:val="00E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F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4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4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4445"/>
    <w:rPr>
      <w:vertAlign w:val="superscript"/>
    </w:rPr>
  </w:style>
  <w:style w:type="character" w:styleId="Hyperlink">
    <w:name w:val="Hyperlink"/>
    <w:uiPriority w:val="99"/>
    <w:semiHidden/>
    <w:unhideWhenUsed/>
    <w:rsid w:val="002D44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6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A4"/>
  </w:style>
  <w:style w:type="paragraph" w:styleId="Footer">
    <w:name w:val="footer"/>
    <w:basedOn w:val="Normal"/>
    <w:link w:val="FooterChar"/>
    <w:uiPriority w:val="99"/>
    <w:unhideWhenUsed/>
    <w:rsid w:val="005B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A4"/>
  </w:style>
  <w:style w:type="character" w:styleId="IntenseReference">
    <w:name w:val="Intense Reference"/>
    <w:basedOn w:val="DefaultParagraphFont"/>
    <w:uiPriority w:val="32"/>
    <w:qFormat/>
    <w:rsid w:val="005B6AA4"/>
    <w:rPr>
      <w:b/>
      <w:bCs/>
      <w:smallCaps/>
      <w:color w:val="4472C4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4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4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4445"/>
    <w:rPr>
      <w:vertAlign w:val="superscript"/>
    </w:rPr>
  </w:style>
  <w:style w:type="character" w:styleId="Hyperlink">
    <w:name w:val="Hyperlink"/>
    <w:uiPriority w:val="99"/>
    <w:semiHidden/>
    <w:unhideWhenUsed/>
    <w:rsid w:val="002D44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6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A4"/>
  </w:style>
  <w:style w:type="paragraph" w:styleId="Footer">
    <w:name w:val="footer"/>
    <w:basedOn w:val="Normal"/>
    <w:link w:val="FooterChar"/>
    <w:uiPriority w:val="99"/>
    <w:unhideWhenUsed/>
    <w:rsid w:val="005B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A4"/>
  </w:style>
  <w:style w:type="character" w:styleId="IntenseReference">
    <w:name w:val="Intense Reference"/>
    <w:basedOn w:val="DefaultParagraphFont"/>
    <w:uiPriority w:val="32"/>
    <w:qFormat/>
    <w:rsid w:val="005B6AA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Brooks</dc:creator>
  <cp:lastModifiedBy>Department of Health User</cp:lastModifiedBy>
  <cp:revision>2</cp:revision>
  <dcterms:created xsi:type="dcterms:W3CDTF">2019-10-09T10:09:00Z</dcterms:created>
  <dcterms:modified xsi:type="dcterms:W3CDTF">2019-10-09T10:09:00Z</dcterms:modified>
</cp:coreProperties>
</file>